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ED4C" w14:textId="77777777" w:rsidR="00A67C90" w:rsidRPr="00A67C90" w:rsidRDefault="00A67C90" w:rsidP="00A67C90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Times New Roman"/>
          <w:color w:val="000099"/>
          <w:sz w:val="30"/>
          <w:szCs w:val="30"/>
          <w:lang w:eastAsia="it-IT"/>
        </w:rPr>
      </w:pPr>
      <w:r w:rsidRPr="00A67C90">
        <w:rPr>
          <w:rFonts w:ascii="Arial" w:eastAsia="Times New Roman" w:hAnsi="Arial" w:cs="Times New Roman"/>
          <w:b/>
          <w:caps/>
          <w:color w:val="FF0000"/>
          <w:sz w:val="28"/>
          <w:szCs w:val="28"/>
          <w:lang w:eastAsia="it-IT"/>
        </w:rPr>
        <w:t xml:space="preserve">Comunicato Sindacale </w:t>
      </w:r>
      <w:r w:rsidRPr="00A67C90">
        <w:rPr>
          <w:rFonts w:ascii="Arial" w:eastAsia="Times New Roman" w:hAnsi="Arial" w:cs="Times New Roman"/>
          <w:b/>
          <w:color w:val="000099"/>
          <w:sz w:val="30"/>
          <w:szCs w:val="30"/>
          <w:lang w:eastAsia="it-IT"/>
        </w:rPr>
        <w:t>Uilm Nazionale</w:t>
      </w:r>
    </w:p>
    <w:p w14:paraId="52B56BA7" w14:textId="77777777" w:rsidR="00A67C90" w:rsidRPr="00A67C90" w:rsidRDefault="00A67C90" w:rsidP="00A67C90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p w14:paraId="267060EC" w14:textId="339DF835" w:rsidR="0025106B" w:rsidRDefault="0025106B" w:rsidP="0025106B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30"/>
          <w:szCs w:val="30"/>
          <w:lang w:eastAsia="it-IT"/>
        </w:rPr>
      </w:pPr>
      <w:r>
        <w:rPr>
          <w:rFonts w:ascii="Arial" w:eastAsia="Times New Roman" w:hAnsi="Arial" w:cs="Arial"/>
          <w:b/>
          <w:bCs/>
          <w:smallCaps/>
          <w:sz w:val="30"/>
          <w:szCs w:val="30"/>
          <w:lang w:eastAsia="it-IT"/>
        </w:rPr>
        <w:t>LEONARDO - FUNZIONI DI STAFF</w:t>
      </w:r>
    </w:p>
    <w:p w14:paraId="69676D3A" w14:textId="1719F7DF" w:rsidR="00A67C90" w:rsidRPr="00A67C90" w:rsidRDefault="0025106B" w:rsidP="0025106B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smallCaps/>
          <w:sz w:val="30"/>
          <w:szCs w:val="30"/>
          <w:lang w:eastAsia="it-IT"/>
        </w:rPr>
        <w:t>AVVIATO IL CONFRONTO SU ART. 4</w:t>
      </w:r>
    </w:p>
    <w:p w14:paraId="3FD63D03" w14:textId="77777777" w:rsidR="00A67C90" w:rsidRPr="00A67C90" w:rsidRDefault="00A67C90" w:rsidP="00A67C9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8B866F5" w14:textId="242424DA" w:rsidR="0025106B" w:rsidRPr="00932AB6" w:rsidRDefault="0025106B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Oggi a Roma presso la sede Unindustria le segreterie nazionali di </w:t>
      </w:r>
      <w:proofErr w:type="spellStart"/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Fim</w:t>
      </w:r>
      <w:proofErr w:type="spellEnd"/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Fiom </w:t>
      </w:r>
      <w:proofErr w:type="spellStart"/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ed</w:t>
      </w:r>
      <w:proofErr w:type="spellEnd"/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Uilm 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unitamente al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l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e Rsu ed alle segreterie territoriali, hanno 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incontr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ato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la direzione 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aziendale 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di Leonardo. All’ordine del giorno l’avvio del confronto sull’art. 4 della legge Forn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ero, rivolto alla famiglia professionale delle Funzioni di Staff.</w:t>
      </w:r>
    </w:p>
    <w:p w14:paraId="07E6BF08" w14:textId="77777777" w:rsidR="00932AB6" w:rsidRDefault="00932AB6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8"/>
          <w:szCs w:val="28"/>
          <w:lang w:eastAsia="it-IT"/>
        </w:rPr>
      </w:pPr>
    </w:p>
    <w:p w14:paraId="1AA77730" w14:textId="78D469AB" w:rsidR="007F7CAB" w:rsidRPr="00932AB6" w:rsidRDefault="0025106B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Il perimetro di riferimento interessa circa 5.500 lavoratori</w:t>
      </w:r>
      <w:r w:rsidR="005E5FC0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e l</w:t>
      </w:r>
      <w:r w:rsidR="007F7CAB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a platea potenzialmente interessata, è di circa 350 unità che a partire dal 2023 (2 finestre di uscita) e nel 2024 (una finestra di uscita) potranno utilizzare fino a 5 anni di accompagnamento alla pensione.</w:t>
      </w:r>
      <w:r w:rsidR="00CC6BD5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L’eventuale accordo, </w:t>
      </w:r>
      <w:r w:rsidR="00CC6BD5" w:rsidRPr="00932AB6">
        <w:rPr>
          <w:rFonts w:ascii="Arial" w:eastAsia="Times New Roman" w:hAnsi="Arial" w:cs="Arial"/>
          <w:b/>
          <w:color w:val="1D1B11"/>
          <w:sz w:val="26"/>
          <w:szCs w:val="26"/>
          <w:lang w:eastAsia="it-IT"/>
        </w:rPr>
        <w:t xml:space="preserve">riguarderà anche la LGS e la Leonardo </w:t>
      </w:r>
      <w:proofErr w:type="spellStart"/>
      <w:r w:rsidR="00CC6BD5" w:rsidRPr="00932AB6">
        <w:rPr>
          <w:rFonts w:ascii="Arial" w:eastAsia="Times New Roman" w:hAnsi="Arial" w:cs="Arial"/>
          <w:b/>
          <w:color w:val="1D1B11"/>
          <w:sz w:val="26"/>
          <w:szCs w:val="26"/>
          <w:lang w:eastAsia="it-IT"/>
        </w:rPr>
        <w:t>Logistics</w:t>
      </w:r>
      <w:proofErr w:type="spellEnd"/>
      <w:r w:rsidR="003E717D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.</w:t>
      </w:r>
    </w:p>
    <w:p w14:paraId="6F750F2F" w14:textId="77777777" w:rsidR="00932AB6" w:rsidRPr="00932AB6" w:rsidRDefault="00932AB6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</w:p>
    <w:p w14:paraId="1E9C90B1" w14:textId="2ECFA837" w:rsidR="003E717D" w:rsidRPr="00932AB6" w:rsidRDefault="003E717D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  <w:r w:rsidRPr="00932AB6">
        <w:rPr>
          <w:rFonts w:ascii="Arial" w:eastAsia="Times New Roman" w:hAnsi="Arial" w:cs="Arial"/>
          <w:b/>
          <w:color w:val="1D1B11"/>
          <w:sz w:val="26"/>
          <w:szCs w:val="26"/>
          <w:lang w:eastAsia="it-IT"/>
        </w:rPr>
        <w:t>Non siamo contrari all’utilizzo di questo strumento, che su base volontaria potrà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</w:t>
      </w:r>
      <w:r w:rsidRPr="00932AB6">
        <w:rPr>
          <w:rFonts w:ascii="Arial" w:eastAsia="Times New Roman" w:hAnsi="Arial" w:cs="Arial"/>
          <w:b/>
          <w:color w:val="1D1B11"/>
          <w:sz w:val="26"/>
          <w:szCs w:val="26"/>
          <w:lang w:eastAsia="it-IT"/>
        </w:rPr>
        <w:t>consentire di anticipare l’uscita dal lavoro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, sarà necessario definire in modo puntuale le condizioni a complemento di questo percorso e le modalità operative con cui procedere per scongiurare equivoc</w:t>
      </w:r>
      <w:r w:rsidR="00B82F98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i su criteri </w:t>
      </w:r>
      <w:r w:rsidR="00CD7E36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e</w:t>
      </w:r>
      <w:r w:rsidR="00B82F98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priorità.</w:t>
      </w:r>
    </w:p>
    <w:p w14:paraId="1288E31A" w14:textId="77777777" w:rsidR="00932AB6" w:rsidRPr="00932AB6" w:rsidRDefault="00932AB6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</w:p>
    <w:p w14:paraId="59A0FE04" w14:textId="37E3ECB9" w:rsidR="00B82F98" w:rsidRPr="00932AB6" w:rsidRDefault="00B82F98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Questa inoltre deve diventare l’opportunità per apportare dei correttiv</w:t>
      </w:r>
      <w:r w:rsidR="00CD7E36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i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alla gestione organizzativa che riguarda questa famiglia professionale, nella quale le funzioni centralizzate hanno generato una “Divisione Virtuale” che spesso per la tipologia di attività è </w:t>
      </w:r>
      <w:r w:rsid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polverizza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ta</w:t>
      </w:r>
      <w:r w:rsidR="00CD7E36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fra i vari siti vivendo la difficoltà di una interlocuzione diretta con la linea gestionale. </w:t>
      </w:r>
    </w:p>
    <w:p w14:paraId="35E70CF9" w14:textId="7BE98CA9" w:rsidR="00CD7E36" w:rsidRPr="00932AB6" w:rsidRDefault="00CD7E36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</w:p>
    <w:p w14:paraId="49C6384A" w14:textId="701A800C" w:rsidR="00CD7E36" w:rsidRPr="00932AB6" w:rsidRDefault="00CD7E36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</w:pP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Vero che questa operazione è propedeutica ad un cambio mix e altrettanto chiari dovranno essere i numeri e i tempi delle assunzioni da effettuare nell’arco dei due anni di vigenza dell’eventuale accordo. </w:t>
      </w:r>
    </w:p>
    <w:p w14:paraId="32F65E0B" w14:textId="359F8CA6" w:rsidR="00932AB6" w:rsidRDefault="0025106B" w:rsidP="0025106B">
      <w:pPr>
        <w:spacing w:after="0" w:line="276" w:lineRule="auto"/>
        <w:jc w:val="both"/>
        <w:rPr>
          <w:rFonts w:ascii="Arial" w:eastAsia="Times New Roman" w:hAnsi="Arial" w:cs="Arial"/>
          <w:bCs/>
          <w:color w:val="1D1B11"/>
          <w:sz w:val="28"/>
          <w:szCs w:val="28"/>
          <w:lang w:eastAsia="it-IT"/>
        </w:rPr>
      </w:pP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Non avendo avuto la possibilità di confrontarci puntualmente su questi elementi ci aspettiamo che all’incontro del </w:t>
      </w:r>
      <w:r w:rsidR="00932AB6"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>21 dicembre</w:t>
      </w:r>
      <w:r w:rsidRPr="00932AB6">
        <w:rPr>
          <w:rFonts w:ascii="Arial" w:eastAsia="Times New Roman" w:hAnsi="Arial" w:cs="Arial"/>
          <w:bCs/>
          <w:color w:val="1D1B11"/>
          <w:sz w:val="26"/>
          <w:szCs w:val="26"/>
          <w:lang w:eastAsia="it-IT"/>
        </w:rPr>
        <w:t xml:space="preserve"> ci venga fornito un testo completo per affrontare la discussione col supporto della delegazione trattante. </w:t>
      </w:r>
    </w:p>
    <w:p w14:paraId="1D9286B6" w14:textId="77777777" w:rsidR="00A67C90" w:rsidRPr="00A67C90" w:rsidRDefault="00A67C90" w:rsidP="00A67C9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D1B11"/>
          <w:lang w:eastAsia="it-IT"/>
        </w:rPr>
      </w:pPr>
    </w:p>
    <w:p w14:paraId="1946A5F2" w14:textId="4FE048B5" w:rsidR="00A67C90" w:rsidRDefault="00A67C90" w:rsidP="00A67C9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D1B11"/>
          <w:lang w:eastAsia="it-IT"/>
        </w:rPr>
      </w:pPr>
      <w:r w:rsidRPr="00A67C90">
        <w:rPr>
          <w:rFonts w:ascii="Arial" w:eastAsia="Times New Roman" w:hAnsi="Arial" w:cs="Arial"/>
          <w:b/>
          <w:bCs/>
          <w:color w:val="1D1B11"/>
          <w:lang w:eastAsia="it-IT"/>
        </w:rPr>
        <w:t>UILM NAZIONALE</w:t>
      </w:r>
    </w:p>
    <w:p w14:paraId="617D7C41" w14:textId="6B234E2E" w:rsidR="00B01D4A" w:rsidRDefault="00A67C90" w:rsidP="00932AB6">
      <w:pPr>
        <w:spacing w:after="0" w:line="240" w:lineRule="auto"/>
        <w:jc w:val="both"/>
      </w:pPr>
      <w:r w:rsidRPr="00A67C90">
        <w:rPr>
          <w:rFonts w:ascii="Arial" w:eastAsia="Times New Roman" w:hAnsi="Arial" w:cs="Arial"/>
          <w:b/>
          <w:i/>
          <w:iCs/>
          <w:color w:val="1D1B11"/>
          <w:lang w:eastAsia="it-IT"/>
        </w:rPr>
        <w:t xml:space="preserve">Roma, </w:t>
      </w:r>
      <w:r w:rsidR="00932AB6">
        <w:rPr>
          <w:rFonts w:ascii="Arial" w:eastAsia="Times New Roman" w:hAnsi="Arial" w:cs="Arial"/>
          <w:b/>
          <w:i/>
          <w:iCs/>
          <w:color w:val="1D1B11"/>
          <w:lang w:eastAsia="it-IT"/>
        </w:rPr>
        <w:t>1</w:t>
      </w:r>
      <w:r w:rsidRPr="00A67C90">
        <w:rPr>
          <w:rFonts w:ascii="Arial" w:eastAsia="Times New Roman" w:hAnsi="Arial" w:cs="Arial"/>
          <w:b/>
          <w:i/>
          <w:iCs/>
          <w:color w:val="1D1B11"/>
          <w:lang w:eastAsia="it-IT"/>
        </w:rPr>
        <w:t xml:space="preserve">2 </w:t>
      </w:r>
      <w:r w:rsidR="00932AB6">
        <w:rPr>
          <w:rFonts w:ascii="Arial" w:eastAsia="Times New Roman" w:hAnsi="Arial" w:cs="Arial"/>
          <w:b/>
          <w:i/>
          <w:iCs/>
          <w:color w:val="1D1B11"/>
          <w:lang w:eastAsia="it-IT"/>
        </w:rPr>
        <w:t>dicembre</w:t>
      </w:r>
      <w:r w:rsidRPr="00A67C90">
        <w:rPr>
          <w:rFonts w:ascii="Arial" w:eastAsia="Times New Roman" w:hAnsi="Arial" w:cs="Arial"/>
          <w:b/>
          <w:i/>
          <w:iCs/>
          <w:color w:val="1D1B11"/>
          <w:lang w:eastAsia="it-IT"/>
        </w:rPr>
        <w:t xml:space="preserve"> 202</w:t>
      </w:r>
      <w:r w:rsidR="00932AB6">
        <w:rPr>
          <w:rFonts w:ascii="Arial" w:eastAsia="Times New Roman" w:hAnsi="Arial" w:cs="Arial"/>
          <w:b/>
          <w:i/>
          <w:iCs/>
          <w:color w:val="1D1B11"/>
          <w:lang w:eastAsia="it-IT"/>
        </w:rPr>
        <w:t>2</w:t>
      </w:r>
    </w:p>
    <w:sectPr w:rsidR="00B01D4A" w:rsidSect="00532B5A">
      <w:headerReference w:type="default" r:id="rId6"/>
      <w:headerReference w:type="first" r:id="rId7"/>
      <w:pgSz w:w="11900" w:h="16840" w:code="9"/>
      <w:pgMar w:top="2268" w:right="843" w:bottom="1418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BAE0" w14:textId="77777777" w:rsidR="00962E82" w:rsidRDefault="00962E82">
      <w:pPr>
        <w:spacing w:after="0" w:line="240" w:lineRule="auto"/>
      </w:pPr>
      <w:r>
        <w:separator/>
      </w:r>
    </w:p>
  </w:endnote>
  <w:endnote w:type="continuationSeparator" w:id="0">
    <w:p w14:paraId="4BCAD55D" w14:textId="77777777" w:rsidR="00962E82" w:rsidRDefault="0096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DC1A7" w14:textId="77777777" w:rsidR="00962E82" w:rsidRDefault="00962E82">
      <w:pPr>
        <w:spacing w:after="0" w:line="240" w:lineRule="auto"/>
      </w:pPr>
      <w:r>
        <w:separator/>
      </w:r>
    </w:p>
  </w:footnote>
  <w:footnote w:type="continuationSeparator" w:id="0">
    <w:p w14:paraId="46992A98" w14:textId="77777777" w:rsidR="00962E82" w:rsidRDefault="0096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FCC8" w14:textId="05AA2286" w:rsidR="00E917EA" w:rsidRDefault="00A67C90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01365D1D" wp14:editId="3E455A68">
          <wp:simplePos x="0" y="0"/>
          <wp:positionH relativeFrom="page">
            <wp:posOffset>872490</wp:posOffset>
          </wp:positionH>
          <wp:positionV relativeFrom="page">
            <wp:posOffset>692785</wp:posOffset>
          </wp:positionV>
          <wp:extent cx="863600" cy="546100"/>
          <wp:effectExtent l="0" t="0" r="0" b="6350"/>
          <wp:wrapNone/>
          <wp:docPr id="2" name="Immagine 2" descr="uilm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uilm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34D3" w14:textId="3E76BBEC" w:rsidR="00A31226" w:rsidRDefault="00A67C9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9EC7AD" wp14:editId="0DCAF71D">
          <wp:simplePos x="0" y="0"/>
          <wp:positionH relativeFrom="page">
            <wp:posOffset>713740</wp:posOffset>
          </wp:positionH>
          <wp:positionV relativeFrom="page">
            <wp:posOffset>536575</wp:posOffset>
          </wp:positionV>
          <wp:extent cx="1285240" cy="812800"/>
          <wp:effectExtent l="0" t="0" r="0" b="6350"/>
          <wp:wrapNone/>
          <wp:docPr id="1" name="Immagine 1" descr="uilm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uilm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FB797E" w14:textId="77777777" w:rsidR="00BF4077" w:rsidRPr="00BF4077" w:rsidRDefault="00000000" w:rsidP="00BF4077">
    <w:pPr>
      <w:pStyle w:val="Pidipagina"/>
      <w:ind w:left="-284" w:firstLine="284"/>
    </w:pPr>
  </w:p>
  <w:p w14:paraId="01708D8D" w14:textId="77777777" w:rsidR="00BF4077" w:rsidRDefault="00000000" w:rsidP="00BF4077">
    <w:pPr>
      <w:pStyle w:val="Pidipagina"/>
      <w:ind w:left="-284" w:firstLine="284"/>
      <w:jc w:val="center"/>
      <w:rPr>
        <w:b/>
        <w:sz w:val="24"/>
      </w:rPr>
    </w:pPr>
  </w:p>
  <w:p w14:paraId="55F3053B" w14:textId="77777777" w:rsidR="00BF4077" w:rsidRPr="00BF4077" w:rsidRDefault="00A67C90" w:rsidP="00BF4077">
    <w:pPr>
      <w:pStyle w:val="Pidipagina"/>
      <w:ind w:left="-284" w:firstLine="284"/>
      <w:jc w:val="center"/>
      <w:rPr>
        <w:b/>
        <w:sz w:val="24"/>
      </w:rPr>
    </w:pPr>
    <w:r w:rsidRPr="00BF4077">
      <w:rPr>
        <w:b/>
        <w:sz w:val="24"/>
      </w:rPr>
      <w:t>UNIONE ITALIANA LAVORATORI METALMECCANICI</w:t>
    </w:r>
  </w:p>
  <w:p w14:paraId="671C8C50" w14:textId="77777777" w:rsidR="00BF4077" w:rsidRPr="00BF4077" w:rsidRDefault="00000000" w:rsidP="00BF4077">
    <w:pPr>
      <w:pStyle w:val="Pidipagina"/>
      <w:rPr>
        <w:sz w:val="8"/>
        <w:szCs w:val="8"/>
      </w:rPr>
    </w:pPr>
  </w:p>
  <w:p w14:paraId="4D3FC33C" w14:textId="77777777" w:rsidR="00BF4077" w:rsidRPr="00BF4077" w:rsidRDefault="00A67C90" w:rsidP="00BF4077">
    <w:pPr>
      <w:pStyle w:val="Pidipagina"/>
      <w:jc w:val="center"/>
      <w:rPr>
        <w:sz w:val="24"/>
      </w:rPr>
    </w:pPr>
    <w:r w:rsidRPr="00BF4077">
      <w:rPr>
        <w:sz w:val="24"/>
      </w:rPr>
      <w:t xml:space="preserve">Corso Trieste, </w:t>
    </w:r>
    <w:proofErr w:type="gramStart"/>
    <w:r w:rsidRPr="00BF4077">
      <w:rPr>
        <w:sz w:val="24"/>
      </w:rPr>
      <w:t>36  00198</w:t>
    </w:r>
    <w:proofErr w:type="gramEnd"/>
    <w:r w:rsidRPr="00BF4077">
      <w:rPr>
        <w:sz w:val="24"/>
      </w:rPr>
      <w:t xml:space="preserve"> Roma</w:t>
    </w:r>
  </w:p>
  <w:p w14:paraId="2231BD66" w14:textId="77777777" w:rsidR="00BF4077" w:rsidRDefault="00A67C90" w:rsidP="00E4006B">
    <w:pPr>
      <w:pStyle w:val="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5D11CB">
      <w:t>tel. 06 852622.01-02 - fax 06 852622.03 - C.F. 80207810583 - e-</w:t>
    </w:r>
    <w:r>
      <w:t>mail: uilm@uilm.it - www.uilm.it</w:t>
    </w:r>
  </w:p>
  <w:p w14:paraId="693BBB68" w14:textId="77777777" w:rsidR="00BF4077" w:rsidRDefault="00000000" w:rsidP="00BF4077">
    <w:pPr>
      <w:pStyle w:val="Pidipagina"/>
    </w:pPr>
  </w:p>
  <w:p w14:paraId="33917E51" w14:textId="77777777" w:rsidR="00BF4077" w:rsidRDefault="00000000" w:rsidP="00BF4077">
    <w:pPr>
      <w:pStyle w:val="Pidipagina"/>
    </w:pPr>
  </w:p>
  <w:p w14:paraId="6FA7B4BA" w14:textId="77777777" w:rsidR="00E917EA" w:rsidRDefault="00A67C90">
    <w:pPr>
      <w:pStyle w:val="Intestazione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90"/>
    <w:rsid w:val="00065999"/>
    <w:rsid w:val="0025106B"/>
    <w:rsid w:val="003E717D"/>
    <w:rsid w:val="003F0F1A"/>
    <w:rsid w:val="005B4B89"/>
    <w:rsid w:val="005E5FC0"/>
    <w:rsid w:val="007F7CAB"/>
    <w:rsid w:val="00893A4B"/>
    <w:rsid w:val="00932AB6"/>
    <w:rsid w:val="00962E82"/>
    <w:rsid w:val="00A67C90"/>
    <w:rsid w:val="00AE4634"/>
    <w:rsid w:val="00B82F98"/>
    <w:rsid w:val="00CC6BD5"/>
    <w:rsid w:val="00CD7E36"/>
    <w:rsid w:val="00E940E8"/>
    <w:rsid w:val="00F63E1A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6D59B"/>
  <w15:chartTrackingRefBased/>
  <w15:docId w15:val="{F9C12595-73CE-4DAE-A47A-1E13EC57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67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7C90"/>
  </w:style>
  <w:style w:type="paragraph" w:styleId="Pidipagina">
    <w:name w:val="footer"/>
    <w:basedOn w:val="Normale"/>
    <w:link w:val="PidipaginaCarattere"/>
    <w:uiPriority w:val="99"/>
    <w:semiHidden/>
    <w:unhideWhenUsed/>
    <w:rsid w:val="00A67C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</dc:creator>
  <cp:keywords/>
  <dc:description/>
  <cp:lastModifiedBy>UILM04</cp:lastModifiedBy>
  <cp:revision>2</cp:revision>
  <dcterms:created xsi:type="dcterms:W3CDTF">2022-12-12T17:55:00Z</dcterms:created>
  <dcterms:modified xsi:type="dcterms:W3CDTF">2022-12-12T17:55:00Z</dcterms:modified>
</cp:coreProperties>
</file>